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79" w:rsidRDefault="003E3579" w:rsidP="00C8723E">
      <w:pPr>
        <w:spacing w:after="0" w:line="240" w:lineRule="auto"/>
        <w:contextualSpacing/>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Лекция </w:t>
      </w:r>
      <w:r w:rsidRPr="003E3579">
        <w:rPr>
          <w:rFonts w:ascii="Times New Roman" w:eastAsia="Times New Roman" w:hAnsi="Times New Roman" w:cs="Times New Roman"/>
          <w:b/>
          <w:sz w:val="28"/>
          <w:szCs w:val="28"/>
          <w:lang w:eastAsia="ru-RU"/>
        </w:rPr>
        <w:t>13</w:t>
      </w:r>
      <w:bookmarkStart w:id="0" w:name="_GoBack"/>
      <w:bookmarkEnd w:id="0"/>
      <w:r w:rsidRPr="003E3579">
        <w:rPr>
          <w:rFonts w:ascii="Times New Roman" w:eastAsia="Times New Roman" w:hAnsi="Times New Roman" w:cs="Times New Roman"/>
          <w:b/>
          <w:sz w:val="28"/>
          <w:szCs w:val="28"/>
          <w:lang w:eastAsia="ru-RU"/>
        </w:rPr>
        <w:t xml:space="preserve">. Финансовый рынок </w:t>
      </w:r>
    </w:p>
    <w:p w:rsidR="003E3579" w:rsidRDefault="003E3579" w:rsidP="003E3579">
      <w:p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b/>
          <w:sz w:val="28"/>
          <w:szCs w:val="28"/>
          <w:lang w:eastAsia="ru-RU"/>
        </w:rPr>
        <w:t xml:space="preserve">Цель лекции: </w:t>
      </w:r>
      <w:r w:rsidRPr="003E3579">
        <w:rPr>
          <w:rFonts w:ascii="Times New Roman" w:eastAsia="Times New Roman" w:hAnsi="Times New Roman" w:cs="Times New Roman"/>
          <w:sz w:val="28"/>
          <w:szCs w:val="28"/>
          <w:lang w:eastAsia="ru-RU"/>
        </w:rPr>
        <w:t xml:space="preserve">рассмотреть сущность </w:t>
      </w:r>
      <w:r>
        <w:rPr>
          <w:rFonts w:ascii="Times New Roman" w:eastAsia="Times New Roman" w:hAnsi="Times New Roman" w:cs="Times New Roman"/>
          <w:sz w:val="28"/>
          <w:szCs w:val="28"/>
          <w:lang w:eastAsia="ru-RU"/>
        </w:rPr>
        <w:t>ф</w:t>
      </w:r>
      <w:r w:rsidRPr="003E3579">
        <w:rPr>
          <w:rFonts w:ascii="Times New Roman" w:eastAsia="Times New Roman" w:hAnsi="Times New Roman" w:cs="Times New Roman"/>
          <w:sz w:val="28"/>
          <w:szCs w:val="28"/>
          <w:lang w:eastAsia="ru-RU"/>
        </w:rPr>
        <w:t>инансов</w:t>
      </w:r>
      <w:r>
        <w:rPr>
          <w:rFonts w:ascii="Times New Roman" w:eastAsia="Times New Roman" w:hAnsi="Times New Roman" w:cs="Times New Roman"/>
          <w:sz w:val="28"/>
          <w:szCs w:val="28"/>
          <w:lang w:eastAsia="ru-RU"/>
        </w:rPr>
        <w:t>ого</w:t>
      </w:r>
      <w:r w:rsidRPr="003E3579">
        <w:rPr>
          <w:rFonts w:ascii="Times New Roman" w:eastAsia="Times New Roman" w:hAnsi="Times New Roman" w:cs="Times New Roman"/>
          <w:sz w:val="28"/>
          <w:szCs w:val="28"/>
          <w:lang w:eastAsia="ru-RU"/>
        </w:rPr>
        <w:t xml:space="preserve"> рын</w:t>
      </w:r>
      <w:r>
        <w:rPr>
          <w:rFonts w:ascii="Times New Roman" w:eastAsia="Times New Roman" w:hAnsi="Times New Roman" w:cs="Times New Roman"/>
          <w:sz w:val="28"/>
          <w:szCs w:val="28"/>
          <w:lang w:eastAsia="ru-RU"/>
        </w:rPr>
        <w:t>ка</w:t>
      </w:r>
      <w:r w:rsidRPr="003E3579">
        <w:rPr>
          <w:rFonts w:ascii="Times New Roman" w:eastAsia="Times New Roman" w:hAnsi="Times New Roman" w:cs="Times New Roman"/>
          <w:sz w:val="28"/>
          <w:szCs w:val="28"/>
          <w:lang w:eastAsia="ru-RU"/>
        </w:rPr>
        <w:t xml:space="preserve"> и его структурные элементы</w:t>
      </w:r>
      <w:r>
        <w:rPr>
          <w:rFonts w:ascii="Times New Roman" w:eastAsia="Times New Roman" w:hAnsi="Times New Roman" w:cs="Times New Roman"/>
          <w:sz w:val="28"/>
          <w:szCs w:val="28"/>
          <w:lang w:eastAsia="ru-RU"/>
        </w:rPr>
        <w:t>.</w:t>
      </w:r>
    </w:p>
    <w:p w:rsidR="003E3579" w:rsidRDefault="003E3579" w:rsidP="003E3579">
      <w:p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b/>
          <w:sz w:val="28"/>
          <w:szCs w:val="28"/>
          <w:lang w:eastAsia="ru-RU"/>
        </w:rPr>
        <w:t xml:space="preserve">Основные понятия: </w:t>
      </w:r>
      <w:r w:rsidRPr="003E3579">
        <w:rPr>
          <w:rFonts w:ascii="Times New Roman" w:eastAsia="Times New Roman" w:hAnsi="Times New Roman" w:cs="Times New Roman"/>
          <w:sz w:val="28"/>
          <w:szCs w:val="28"/>
          <w:lang w:eastAsia="ru-RU"/>
        </w:rPr>
        <w:t>финансовый рынок</w:t>
      </w:r>
      <w:r>
        <w:rPr>
          <w:rFonts w:ascii="Times New Roman" w:eastAsia="Times New Roman" w:hAnsi="Times New Roman" w:cs="Times New Roman"/>
          <w:sz w:val="28"/>
          <w:szCs w:val="28"/>
          <w:lang w:eastAsia="ru-RU"/>
        </w:rPr>
        <w:t>,</w:t>
      </w:r>
      <w:r w:rsidRPr="003E35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3E3579">
        <w:rPr>
          <w:rFonts w:ascii="Times New Roman" w:eastAsia="Times New Roman" w:hAnsi="Times New Roman" w:cs="Times New Roman"/>
          <w:sz w:val="28"/>
          <w:szCs w:val="28"/>
          <w:lang w:eastAsia="ru-RU"/>
        </w:rPr>
        <w:t>енежный рынок</w:t>
      </w:r>
      <w:r>
        <w:rPr>
          <w:rFonts w:ascii="Times New Roman" w:eastAsia="Times New Roman" w:hAnsi="Times New Roman" w:cs="Times New Roman"/>
          <w:sz w:val="28"/>
          <w:szCs w:val="28"/>
          <w:lang w:eastAsia="ru-RU"/>
        </w:rPr>
        <w:t>,</w:t>
      </w:r>
      <w:r w:rsidRPr="003E3579">
        <w:t xml:space="preserve"> </w:t>
      </w:r>
      <w:r w:rsidRPr="003E3579">
        <w:rPr>
          <w:rFonts w:ascii="Times New Roman" w:hAnsi="Times New Roman" w:cs="Times New Roman"/>
          <w:sz w:val="28"/>
          <w:szCs w:val="28"/>
        </w:rPr>
        <w:t>д</w:t>
      </w:r>
      <w:r w:rsidRPr="003E3579">
        <w:rPr>
          <w:rFonts w:ascii="Times New Roman" w:eastAsia="Times New Roman" w:hAnsi="Times New Roman" w:cs="Times New Roman"/>
          <w:sz w:val="28"/>
          <w:szCs w:val="28"/>
          <w:lang w:eastAsia="ru-RU"/>
        </w:rPr>
        <w:t>епозитный рынок</w:t>
      </w:r>
      <w:r>
        <w:t xml:space="preserve">, </w:t>
      </w:r>
      <w:r>
        <w:rPr>
          <w:rFonts w:ascii="Times New Roman" w:eastAsia="Times New Roman" w:hAnsi="Times New Roman" w:cs="Times New Roman"/>
          <w:sz w:val="28"/>
          <w:szCs w:val="28"/>
          <w:lang w:eastAsia="ru-RU"/>
        </w:rPr>
        <w:t>к</w:t>
      </w:r>
      <w:r w:rsidRPr="003E3579">
        <w:rPr>
          <w:rFonts w:ascii="Times New Roman" w:eastAsia="Times New Roman" w:hAnsi="Times New Roman" w:cs="Times New Roman"/>
          <w:sz w:val="28"/>
          <w:szCs w:val="28"/>
          <w:lang w:eastAsia="ru-RU"/>
        </w:rPr>
        <w:t>редитный рынок</w:t>
      </w:r>
      <w:r>
        <w:rPr>
          <w:rFonts w:ascii="Times New Roman" w:eastAsia="Times New Roman" w:hAnsi="Times New Roman" w:cs="Times New Roman"/>
          <w:sz w:val="28"/>
          <w:szCs w:val="28"/>
          <w:lang w:eastAsia="ru-RU"/>
        </w:rPr>
        <w:t>,</w:t>
      </w:r>
      <w:r w:rsidRPr="003E3579">
        <w:t xml:space="preserve"> </w:t>
      </w:r>
      <w:r>
        <w:rPr>
          <w:rFonts w:ascii="Times New Roman" w:eastAsia="Times New Roman" w:hAnsi="Times New Roman" w:cs="Times New Roman"/>
          <w:sz w:val="28"/>
          <w:szCs w:val="28"/>
          <w:lang w:eastAsia="ru-RU"/>
        </w:rPr>
        <w:t>в</w:t>
      </w:r>
      <w:r w:rsidRPr="003E3579">
        <w:rPr>
          <w:rFonts w:ascii="Times New Roman" w:eastAsia="Times New Roman" w:hAnsi="Times New Roman" w:cs="Times New Roman"/>
          <w:sz w:val="28"/>
          <w:szCs w:val="28"/>
          <w:lang w:eastAsia="ru-RU"/>
        </w:rPr>
        <w:t>алютный рынок</w:t>
      </w:r>
      <w:r>
        <w:rPr>
          <w:rFonts w:ascii="Times New Roman" w:eastAsia="Times New Roman" w:hAnsi="Times New Roman" w:cs="Times New Roman"/>
          <w:sz w:val="28"/>
          <w:szCs w:val="28"/>
          <w:lang w:eastAsia="ru-RU"/>
        </w:rPr>
        <w:t>, рынок ценных бумаг, страховой рынок, пенсионный рынок</w:t>
      </w:r>
      <w:r w:rsidRPr="003E3579">
        <w:rPr>
          <w:rFonts w:ascii="Times New Roman" w:eastAsia="Times New Roman" w:hAnsi="Times New Roman" w:cs="Times New Roman"/>
          <w:sz w:val="28"/>
          <w:szCs w:val="28"/>
          <w:lang w:eastAsia="ru-RU"/>
        </w:rPr>
        <w:t>.</w:t>
      </w:r>
    </w:p>
    <w:p w:rsidR="003E3579" w:rsidRPr="003E3579" w:rsidRDefault="003E3579" w:rsidP="003E3579">
      <w:pPr>
        <w:spacing w:after="0" w:line="240" w:lineRule="auto"/>
        <w:jc w:val="both"/>
        <w:rPr>
          <w:rFonts w:ascii="Times New Roman" w:eastAsia="Times New Roman" w:hAnsi="Times New Roman" w:cs="Times New Roman"/>
          <w:b/>
          <w:sz w:val="28"/>
          <w:szCs w:val="28"/>
          <w:lang w:eastAsia="ru-RU"/>
        </w:rPr>
      </w:pPr>
      <w:r w:rsidRPr="003E3579">
        <w:rPr>
          <w:rFonts w:ascii="Times New Roman" w:eastAsia="Times New Roman" w:hAnsi="Times New Roman" w:cs="Times New Roman"/>
          <w:b/>
          <w:sz w:val="28"/>
          <w:szCs w:val="28"/>
          <w:lang w:eastAsia="ru-RU"/>
        </w:rPr>
        <w:t>Рассматриваемые вопросы:</w:t>
      </w:r>
    </w:p>
    <w:p w:rsidR="003E3579" w:rsidRPr="003E3579" w:rsidRDefault="003E3579" w:rsidP="005E51F0">
      <w:pPr>
        <w:numPr>
          <w:ilvl w:val="0"/>
          <w:numId w:val="10"/>
        </w:num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 xml:space="preserve">Сущность </w:t>
      </w:r>
      <w:r w:rsidR="005E51F0" w:rsidRPr="005E51F0">
        <w:rPr>
          <w:rFonts w:ascii="Times New Roman" w:eastAsia="Times New Roman" w:hAnsi="Times New Roman" w:cs="Times New Roman"/>
          <w:sz w:val="28"/>
          <w:szCs w:val="28"/>
          <w:lang w:eastAsia="ru-RU"/>
        </w:rPr>
        <w:t>финансового рынка</w:t>
      </w:r>
      <w:r w:rsidRPr="003E3579">
        <w:rPr>
          <w:rFonts w:ascii="Times New Roman" w:eastAsia="Times New Roman" w:hAnsi="Times New Roman" w:cs="Times New Roman"/>
          <w:sz w:val="28"/>
          <w:szCs w:val="28"/>
          <w:lang w:eastAsia="ru-RU"/>
        </w:rPr>
        <w:t>.</w:t>
      </w:r>
    </w:p>
    <w:p w:rsidR="003E3579" w:rsidRPr="003E3579" w:rsidRDefault="005E51F0" w:rsidP="005E51F0">
      <w:pPr>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w:t>
      </w:r>
      <w:r w:rsidR="003E3579" w:rsidRPr="003E3579">
        <w:rPr>
          <w:rFonts w:ascii="Times New Roman" w:eastAsia="Times New Roman" w:hAnsi="Times New Roman" w:cs="Times New Roman"/>
          <w:sz w:val="28"/>
          <w:szCs w:val="28"/>
          <w:lang w:eastAsia="ru-RU"/>
        </w:rPr>
        <w:t xml:space="preserve"> </w:t>
      </w:r>
      <w:r w:rsidRPr="005E51F0">
        <w:rPr>
          <w:rFonts w:ascii="Times New Roman" w:eastAsia="Times New Roman" w:hAnsi="Times New Roman" w:cs="Times New Roman"/>
          <w:sz w:val="28"/>
          <w:szCs w:val="28"/>
          <w:lang w:eastAsia="ru-RU"/>
        </w:rPr>
        <w:t>финансового рынка</w:t>
      </w:r>
    </w:p>
    <w:p w:rsidR="003E3579" w:rsidRPr="003E3579" w:rsidRDefault="005E51F0" w:rsidP="003E3579">
      <w:pPr>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Современное состояние финансового рынка Казахстана</w:t>
      </w:r>
      <w:r w:rsidR="003E3579" w:rsidRPr="003E3579">
        <w:rPr>
          <w:rFonts w:ascii="Times New Roman" w:eastAsia="Times New Roman" w:hAnsi="Times New Roman" w:cs="Times New Roman"/>
          <w:sz w:val="28"/>
          <w:szCs w:val="28"/>
          <w:lang w:eastAsia="ru-RU"/>
        </w:rPr>
        <w:t xml:space="preserve">. </w:t>
      </w:r>
    </w:p>
    <w:p w:rsidR="003E3579" w:rsidRDefault="003E3579"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Особенности финансового рынка Казахстана. Структура финансового рынка Казахстана: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денежный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депозитный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кредитный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валютный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рынок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пенсионный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страховой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B97BB7">
        <w:rPr>
          <w:rFonts w:ascii="Times New Roman" w:eastAsia="Times New Roman" w:hAnsi="Times New Roman" w:cs="Times New Roman"/>
          <w:b/>
          <w:i/>
          <w:sz w:val="28"/>
          <w:szCs w:val="28"/>
          <w:lang w:eastAsia="ru-RU"/>
        </w:rPr>
        <w:t>Денежный рынок</w:t>
      </w:r>
      <w:r w:rsidRPr="006071BD">
        <w:rPr>
          <w:rFonts w:ascii="Times New Roman" w:eastAsia="Times New Roman" w:hAnsi="Times New Roman" w:cs="Times New Roman"/>
          <w:sz w:val="28"/>
          <w:szCs w:val="28"/>
          <w:lang w:eastAsia="ru-RU"/>
        </w:rPr>
        <w:t xml:space="preserve"> выполняет первостепенную роль финансового рынка, так как денежные средства являются основой любого финансового инструмента.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Функции денежного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платежная функция;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учетная функция;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обеспечение коммерческого кредитования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Учитывая особенности казахстанского финансового рынка, можно выделить следующие сегменты денежного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Рынок наличных денег (банкнот).</w:t>
      </w:r>
      <w:r w:rsidRPr="006071BD">
        <w:rPr>
          <w:rFonts w:ascii="Times New Roman" w:eastAsia="Times New Roman" w:hAnsi="Times New Roman" w:cs="Times New Roman"/>
          <w:sz w:val="28"/>
          <w:szCs w:val="28"/>
          <w:lang w:eastAsia="ru-RU"/>
        </w:rPr>
        <w:t xml:space="preserve"> Обращения наличных денежных средств опосредует оборот товаров на рынке. Население использует наличные средства путем передачи их в виде банкнот или монет, являющихся законным платежным средством, в качестве оплаты товаров и услуг, при обмене валют в обменных пунктах, при предоставлении займов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чеков. Расчеты чеками производятся при помощи письменных распоряжений плательщика своему банку уплатить с его счета определенную сумму. Чеки бывают расчетными, денежными, дорожными; именными, предъявительскими и ордерными.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Рынок векселей. Вексельные операции представляют собой перераспределение краткосрочных денежных средств. Они охватывают различные сферы: отношения между банками и клиентами при выдаче банковских ссуд; между обществом и государством; между физическими и </w:t>
      </w:r>
      <w:r w:rsidRPr="006071BD">
        <w:rPr>
          <w:rFonts w:ascii="Times New Roman" w:eastAsia="Times New Roman" w:hAnsi="Times New Roman" w:cs="Times New Roman"/>
          <w:sz w:val="28"/>
          <w:szCs w:val="28"/>
          <w:lang w:eastAsia="ru-RU"/>
        </w:rPr>
        <w:lastRenderedPageBreak/>
        <w:t>юридическими лицами без посредства банка. Вексель является платежным инструментом и средством кредитования; бывает простым и переводным.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банковских акцептов. Акцепт – это письменное согласие на оплату векселя. Общий доход операций акцептирования должен быть не ниже ставки рефинансирования Национального банка РК.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платежных карточек. Стало возможным применение доступа к деньгам посредством электронных терминалов или иных устройств, позволяющих производить операции, определенные эмитентом. Платежная карточка бывает дебетовая и кредитная. Только Национальный банк лицензирует деятельность, связанную с выпуском карточек.</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долговых расписок. Используется долговая расписка, заверенная нотариально, при предоставлении населения займа друг другу без участия банка.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Депозитный рынок.</w:t>
      </w:r>
      <w:r w:rsidRPr="006071BD">
        <w:rPr>
          <w:rFonts w:ascii="Times New Roman" w:eastAsia="Times New Roman" w:hAnsi="Times New Roman" w:cs="Times New Roman"/>
          <w:sz w:val="28"/>
          <w:szCs w:val="28"/>
          <w:lang w:eastAsia="ru-RU"/>
        </w:rPr>
        <w:t xml:space="preserve"> Банки создают стратегию развития на основе стандартов, установленных в международной практике – это позволяет вести политику привлечения внутренних ресурсов, потому что увеличение обязательств банков в основном происходит благодаря притоку денежных средств населения и предприятий на депозиты.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Банковская система каждой рыночной экономики выполняет четыре основные функции: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осуществление посредничества между держателями сбережений и инвесторами путем преобразования краткосрочных депозитов в средне- и долгосрочные кредиты;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создание кредитных денег путем привлечения наличных денег и депозитов, благодаря чему происходит увеличение денежной массы в обращении;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оказание влияния на предложение денег в экономике;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оказание помощи в проведении денежно-кредитной политики.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Банки могут выполнять вышеуказанные функции, вследствие их непреложного обязательства перед населением незамедлительно переводить депозиты до востребования клиентов в денежную наличность по их первому запросу, а срочные и сберегательные депозиты – спустя время, заранее оговоренное с клиентом. Для перевода денег в наличность по первому требованию вкладчика часть своих средств банки держат в виде наличных денег.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Объем депозитов, привлекаемых банками, зависит от нескольких факторов: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объема денежных доходов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уровня доверия населения банковской системе;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реальной ставки процента;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уровня банковской системы страны. </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Кредитный рынок.</w:t>
      </w:r>
      <w:r w:rsidRPr="006071BD">
        <w:rPr>
          <w:rFonts w:ascii="Times New Roman" w:eastAsia="Times New Roman" w:hAnsi="Times New Roman" w:cs="Times New Roman"/>
          <w:sz w:val="28"/>
          <w:szCs w:val="28"/>
          <w:lang w:eastAsia="ru-RU"/>
        </w:rPr>
        <w:t xml:space="preserve"> Функционирование кредитного рынка позволяет: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разрешить противоречие между необходимостью свободного перехода капитала из одних отраслей производства в другие и закрепленностью производственного капитала в определенной натуральной форме;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преодолевать ограниченность индивидуального капитала;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поддерживать непрерывность кругооборота фондов действующих предприятий;</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обслуживать процесс реализации производственных товаров.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Ссудный капитал перераспределяется между отраслями, обращаясь в соответствующие общенациональным программам сферы, обеспечивающие получение более высокой прибыли. Это – </w:t>
      </w:r>
      <w:proofErr w:type="spellStart"/>
      <w:r w:rsidRPr="006071BD">
        <w:rPr>
          <w:rFonts w:ascii="Times New Roman" w:eastAsia="Times New Roman" w:hAnsi="Times New Roman" w:cs="Times New Roman"/>
          <w:sz w:val="28"/>
          <w:szCs w:val="28"/>
          <w:lang w:eastAsia="ru-RU"/>
        </w:rPr>
        <w:t>перераспределительная</w:t>
      </w:r>
      <w:proofErr w:type="spellEnd"/>
      <w:r w:rsidRPr="006071BD">
        <w:rPr>
          <w:rFonts w:ascii="Times New Roman" w:eastAsia="Times New Roman" w:hAnsi="Times New Roman" w:cs="Times New Roman"/>
          <w:sz w:val="28"/>
          <w:szCs w:val="28"/>
          <w:lang w:eastAsia="ru-RU"/>
        </w:rPr>
        <w:t xml:space="preserve"> функция, несущая общественный характер и активно применяемая государством в регулировании производства и управлении совокупным денежным капиталом. Кредит способен обнаруживать активное воздействие на скорость обращения денег, объем и структуру денежной массы, платежного оборота.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Кредит стимулирует вырабатывание производственных сил, увеличивает скорость формирования источников капитала для расширения воспроизводства на основе достижений научно-технического прогресса. Предоставляя правительственные гарантии и льготы, регулируя доступ заемщиков на рынок ссудных капиталов, государство направляет банки на преимущественное кредитование тех предприятий и сфер, деятельность которых соответствует задачам общенациональных программ экономического развития. Государство может применять кредит для стимулирования экспорта товаров, освоения отсталых регионов, капитальных вкладов, жилищного строительства.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Следует выделить пять основных функций кредитного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обслуживание товарного обращения через кредит;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хранение или собирание денежных сбережений населения, предприятий, государства, иностранных клиентов;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изменение денежных фондов непосредственно в ссудный капитал и его употребление в виде капиталовложений для обслуживания процесса производства;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обслуживание населения и государства как источников капитала для восполнения потребительских и государственных расходов;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убыстрение концентрации и централизации капитала, поддержка в образовании сильных финансово-промышленных групп.</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Валютный рынок.</w:t>
      </w:r>
      <w:r w:rsidRPr="006071BD">
        <w:rPr>
          <w:rFonts w:ascii="Times New Roman" w:eastAsia="Times New Roman" w:hAnsi="Times New Roman" w:cs="Times New Roman"/>
          <w:sz w:val="28"/>
          <w:szCs w:val="28"/>
          <w:lang w:eastAsia="ru-RU"/>
        </w:rPr>
        <w:t xml:space="preserve"> Здесь совершается купля-продажа иностранных или национальных валют по курсу, определяющемуся на основе их спроса и предложения.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 основным характеристикам и особенностям валютного рынка можно отнести: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специфичность проведения валютных операций на валютном рынке: техника валютных операций упрощена, все расчеты реализовываются по корреспондентским счетам банков;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беспрерывность проведения валютных операций на валютном рынке – валютные операции происходят непрерывно в течение суток в любой точке света;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w:t>
      </w:r>
      <w:proofErr w:type="spellStart"/>
      <w:r w:rsidRPr="006071BD">
        <w:rPr>
          <w:rFonts w:ascii="Times New Roman" w:eastAsia="Times New Roman" w:hAnsi="Times New Roman" w:cs="Times New Roman"/>
          <w:sz w:val="28"/>
          <w:szCs w:val="28"/>
          <w:lang w:eastAsia="ru-RU"/>
        </w:rPr>
        <w:t>транспарентность</w:t>
      </w:r>
      <w:proofErr w:type="spellEnd"/>
      <w:r w:rsidRPr="006071BD">
        <w:rPr>
          <w:rFonts w:ascii="Times New Roman" w:eastAsia="Times New Roman" w:hAnsi="Times New Roman" w:cs="Times New Roman"/>
          <w:sz w:val="28"/>
          <w:szCs w:val="28"/>
          <w:lang w:eastAsia="ru-RU"/>
        </w:rPr>
        <w:t xml:space="preserve"> рынка – это предоставление всей информации, имеющей отношение к изменениям валютного курса, ко всем его участникам в течение;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двойственная роль некоторых видов валютных операций. Например, фьючерсные и форвардные сделки осуществляют роль срочных валютных операций и в то же время представляют собой способы страхования валютного риска;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обширное вырабатывание валютных спекулятивных и арбитражных операций и их сосредоточение в спекулятивных фондах – фондах хеджирования.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Основными участниками валютного рынка являются государственные и коммерческие банки. До 90% валютных сделок производятся банками. Валютные сделки, совершаемые банками между собой, базируются на межбанковских расчетах – системе безналичных расчетов между банковскими учреждениями, сформированной в основном на прямых переводах денежных средств и систематических зачетах требований и обязательств обеих сторон.</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Рынок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Ценная бумага — совокупность определенных записей и других обозначений, удостоверяющих имущественные права. Ценные бумаги могут быть долговыми и долевыми.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Долевая ценная бумага – ценная бумага, подтверждающая право ее владельца на определенную долю в имуществе в случаях, предусмотренных законодательством Республики Казахстан. [9]</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Республике Казахстан имеют место следующие виды ценных бумаг: акции, облигации, коносаменты и другие документы, которые закреплены законодательными актами о ценных бумагах или в установленном ими порядке отнесены к числу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Ценная бумага является денежным документом, указывающим на праве собственности его владельца на некоторую сумму денег или определенные имущественные ценности. Данные имущественные права по ценным бумагам определены куплей-продажей, залогом имущества, предоставлением денег в ссуду и на создание различных предприятий и т.п. Поэтому ценные бумаги предоставляют право их владельцам на получение установленного дохода.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Ценные бумаги — это особый товар, который оборачивается на рынке и отображает имущественные отношения. Ценные бумаги можно приобретать, менять, сберегать, реализовывать, сбывать, дарить, передавать по наследству. </w:t>
      </w:r>
      <w:r w:rsidRPr="006071BD">
        <w:rPr>
          <w:rFonts w:ascii="Times New Roman" w:eastAsia="Times New Roman" w:hAnsi="Times New Roman" w:cs="Times New Roman"/>
          <w:sz w:val="28"/>
          <w:szCs w:val="28"/>
          <w:lang w:eastAsia="ru-RU"/>
        </w:rPr>
        <w:lastRenderedPageBreak/>
        <w:t>Они могут выполнять некоторые функции денег – выступать в качестве средства платежа, расчетов, но не могут быть всеобщим эквивалентом. Участниками рынка ценных бумаг являются инвесторы, инвестиционные посредники, эмитенты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Функционирование рынка ценных бумаг позволяет: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гибко инвестировать свободные денежные средства юридических и физических лиц;</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эффективно </w:t>
      </w:r>
      <w:proofErr w:type="spellStart"/>
      <w:r w:rsidRPr="006071BD">
        <w:rPr>
          <w:rFonts w:ascii="Times New Roman" w:eastAsia="Times New Roman" w:hAnsi="Times New Roman" w:cs="Times New Roman"/>
          <w:sz w:val="28"/>
          <w:szCs w:val="28"/>
          <w:lang w:eastAsia="ru-RU"/>
        </w:rPr>
        <w:t>мобилизировать</w:t>
      </w:r>
      <w:proofErr w:type="spellEnd"/>
      <w:r w:rsidRPr="006071BD">
        <w:rPr>
          <w:rFonts w:ascii="Times New Roman" w:eastAsia="Times New Roman" w:hAnsi="Times New Roman" w:cs="Times New Roman"/>
          <w:sz w:val="28"/>
          <w:szCs w:val="28"/>
          <w:lang w:eastAsia="ru-RU"/>
        </w:rPr>
        <w:t xml:space="preserve"> ресурсы для развития производства и удовлетворения других общественных потребностей путем размещения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активно участвовать в обслуживании товарного и денежного обращения;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отслеживать формирование курсов ценных бумаг. Курсы резко опускаются в годы кризисов и неблагоприятной конъюнктуры и, наоборот, возрастают в периоды подъемов производства.</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Страховой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Наблюдается объективная потребность в страховой защите, что приводит к формированию страхового рынка в социально-экономической системе среды. Денежная форма обеспечения страховой защиты определяет связь страхового рынка с финансовым рынком – с финансовыми институтами, в рамках которых реализуются страховые отношения: финансами предприятий, населения, банковской системой, государственным бюджетом и другими. Здесь должные финансовые институты представляют собой страхователей и потребителей страховых продуктов. В связи с созданием обязательного страхования формируются характерные отношения между страховым рынком и государственным бюджетом и государственными внебюджетными фондами.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Функционирование страхового рынка совершается на партнерской основе или в условиях конкуренции. Это касается конкурентной борьбы между разными финансовыми институтами за свободные денежные средства населения и хозяйствующих субъектов. Если страховой рынок, например, предлагает страховые продукты по страхованию жизни, то банки — депозиты, фондовый рынок — ценные бумаги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узком смысле страховой рынок можно представить в виде своеобразной системы, которая управляется соотношением спроса покупателей на страховые услуги и предложением продавцов страховой защиты. В широком смысле под страховым рынком понимается область денежных отношений, в которой объектом купли-продажи является страховая защита, формируются спрос и предложение на нее.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Страховой рынок представляет собой сложную развивающуюся связанную систему, в которой имеются страховые организации, страхователи, страховщики, страховые посредники, страховые продукты, специалисты-оценщики страховых убытков и рисков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lastRenderedPageBreak/>
        <w:t>Пенсионный рынок.</w:t>
      </w:r>
      <w:r w:rsidRPr="006071BD">
        <w:rPr>
          <w:rFonts w:ascii="Times New Roman" w:eastAsia="Times New Roman" w:hAnsi="Times New Roman" w:cs="Times New Roman"/>
          <w:sz w:val="28"/>
          <w:szCs w:val="28"/>
          <w:lang w:eastAsia="ru-RU"/>
        </w:rPr>
        <w:t xml:space="preserve"> С увеличением доли престарелых граждан в общей численности населения Казахстана появилась необходимость в реформировании пенсионной системы страны. Самой существенной целью проведения пенсионной реформы стало построение финансово стабильной системы. Функционирование пенсионного рынка позволяет решить множество проблем: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умерить социальную напряженность;</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шаг за шагом высвободить бюджет от тяжести пенсионных выплат;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содействовать появлению у граждан заинтересованности зарабатывать много и легально.</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итоге пенсионной реформы будущие пенсии должны были сохраниться и увеличиться.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Развитие финансового рынка Казахстана в условиях экономического кризиса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Руководство Казахстана в срочном порядке разрабатывало антикризисные меры по спасению банковского сектора, так как первая волна мирового кризиса захлестнула страну уже в августе 2007 года.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Казахстан пережил воздействие глобального финансового кризиса в 2007-2009 годах после десятилетия быстрого роста, обеспеченного добычей и экспортом углеводородных ресурсов. До кризиса экономика страны показывала неплохие макроэкономические показатели: значительный профицит консолидированного бюджета, быстрый рост золотовалютных резервов и средств в Национальном фонде, аккумулирующем доходы от нефтяного сектора. И все равно стали заметными отрицательные признаки кризиса: рост инфляции, сокращение безработицы, стремительный рост заработной платы при невысокой производительности труда.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Вторым по темпам роста после нефте­газового был банковский сектор. Доступ банков к недорогим кредитным ресурсам на международных рынках капитала позволил повысить кредитование экономики (с 1 октября 1999 г. до 1 января 2009 г.) более чем в 50 раз, что перегружало экономику. Неадекватные оценки рисков и качества ссудного портфеля привели сектор недвижимости и сферу услуг к росту банковских займов. Это углубило системные перекосы в структуре экономики. Из-за этих процессов казахстанская экономика стала уязвимой к влиянию глобального кризиса.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Ипотечный кризис в США, зародивший нестабильность на мировых финансовых рынках, сказался на отношении инвесторов к развивающимся рынкам: условия заимствований на международных рынках ужесточились, и банковский сектор Казахстана почувствовал воздействие кризиса в августе 2007 года. Ограничение заимствований на международных рынках капитала уменьшило возможности банков по рефинансированию прежде принятых внешних займов и приобретению новых — это породило сильный отток </w:t>
      </w:r>
      <w:r w:rsidRPr="006071BD">
        <w:rPr>
          <w:rFonts w:ascii="Times New Roman" w:eastAsia="Times New Roman" w:hAnsi="Times New Roman" w:cs="Times New Roman"/>
          <w:sz w:val="28"/>
          <w:szCs w:val="28"/>
          <w:lang w:eastAsia="ru-RU"/>
        </w:rPr>
        <w:lastRenderedPageBreak/>
        <w:t>капитала из банковского сектора. Основная проблема банковского сектора связана с тем, что банки отдалились от традиционного финансового посредничества и в основном полагались только на внешнее фондирование: соотношение заимствований и депозитов достигло максимального значения в 2007 году.</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Однако, благоприятная конъюнктура мировых углеводородных рынков защитила казахстанскую экономику и ограничила воздействие мирового кризиса в 2007 году. Профицит консолидированного бюджета, небольшой размер государственного долга, рост золотовалютных резервов и средств в Национальном фонде обеспечивали положительные оценки рейтинговых агентств до осени 2007 года. В стране сохранялись Высокие темпы роста ВВП (около 6%) в I и II кварталах 2008 года тоже имели связь с рекордными ценами на углеводородные ресурсы.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sz w:val="28"/>
          <w:szCs w:val="28"/>
          <w:lang w:eastAsia="ru-RU"/>
        </w:rPr>
      </w:pPr>
      <w:r w:rsidRPr="006071BD">
        <w:rPr>
          <w:rFonts w:ascii="Times New Roman" w:eastAsia="Times New Roman" w:hAnsi="Times New Roman" w:cs="Times New Roman"/>
          <w:b/>
          <w:sz w:val="28"/>
          <w:szCs w:val="28"/>
          <w:lang w:eastAsia="ru-RU"/>
        </w:rPr>
        <w:t>Бюджетная политика.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Бюджетная политика Казахстана в 2007-2008 годах оставалась устойчивой, с профицитом бюджета и низким уровнем государственного долга. В 2008 году происходило исполнение доходов бюджета благодаря высоким ценам на нефть. Важную роль тут исполнило внедрение с мая 2008 года таможенной пошлины на экспорт нефти, в результате чего таможенные доходы в 2008 году увеличились в три раза в сравнении с 2007 годом.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2009 году вошел в силу Налоговый кодекс, в котором были предусмотрены отдельные нововведения: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понижены ставки на корпоративный подоходный налог с 30% до 20%, отменены требования по выплате авансовых платежей для малого и среднего бизнеса;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уменьшен НДС с 13% до12 %, в два раза повышен объем минимального оборота, не облагаемого НДС;</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внедрена единая ставка социального налога — 11% вместо регрессивной шкалы.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Замедление деловой активности, падение цен на нефть, понижение налоговых ставок, породили в 2009 году снижение доходов бюджета. Тем не менее, поступления от сбыта углеводородных ресурсов, доля которого возросла с 40% до 60% экспорта, позволяли каждый год наращивать расходы бюджета со скоростью, превосходящей темпы экономического роста. Рекордный рост расходов в 2005 году объясняется проведением в тот год президентских выборов. Данный уровень расходов поддерживался вливаниями в бюджет из Национального фонда, и совокупные расходы из Национального фонда за 2008-2009 годы составили 16,3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В 2008 году рост ВВП уменьшился до 3,2%. Действие глобального кризиса на экономику Казахстана наиболее интенсивно отразилось в 2009 году, когда случилось существенное падение в торговле, строительстве, финансовой деятельности, обрабатывающей промышленности, транспорте, </w:t>
      </w:r>
      <w:r w:rsidRPr="006071BD">
        <w:rPr>
          <w:rFonts w:ascii="Times New Roman" w:eastAsia="Times New Roman" w:hAnsi="Times New Roman" w:cs="Times New Roman"/>
          <w:sz w:val="28"/>
          <w:szCs w:val="28"/>
          <w:lang w:eastAsia="ru-RU"/>
        </w:rPr>
        <w:lastRenderedPageBreak/>
        <w:t>производстве и распределении электро­энергии, газа и воды. В итоге рост ВВП Казахстана в 2009 году составил 1,2% – самый низкий уровень, начиная с 1999 года.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Рынок труда и доходы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соответствии с данными Агентства Республики Казахстан по статистике, безработица в 2008 году уменьшилась с 7,3% до 6,6% по сравнению с предыдущим годом, но в I квартале 2009 года она вновь возросла до 6,9%. Принятие программы «Дорожная карта» предотвратило дальнейший рост безработицы и остановило ее на уровне 6,3%, сконцентрировавшись на создании временных рабочих мест в регионах.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последнее десятилетие численность занятого населения в Казахстане непрерывно возрастала благодаря росту экономики, и в 2009 году достигла 7,9 млн. человек, из которых 2,7 млн. представляют собой самостоятельно занятых трудоспособных лиц, обеспечивающих себя работой. В результате выходит, что на селе безработица меньше, чем в городе, потому что сельчан, не имеющих работы, статистика вносит в число самостоятельно занятых.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Рост реальной заработной платы в 2008 году уменьшился с 16,1% до 2,5% в сравнении с 2007 годом. Средняя заработная плата по всем секторам экономики составила 60734 тенге – это составляет 505 долл. по среднегодовому курсу. К тому же растут несоразмерности между секторами экономики в месячной номинальной заработной плате. Например, заработная плата в секторе финансовой деятельности в декабре 2008 года увеличилась до 169363 тенге (1408 долл.), в тот момент как в образовании составила лишь 37547 тенге (312 долл.), и в сельском хозяйстве 37307 тенге (310 долл.). Средняя заработная плата в 2009 году во всех секторах экономики увеличилась на 11,2%, до 67530 тенге, одновременно уменьшившись в долларовом выражении из-за девальвации тенге до 458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Статистические данные не отображают воздействие кризиса на бедные слои населения. Доля населения с доходами ниже прожиточного минимума (12364 тенге, или 103 долл.), в III квартале 2008 года составляла 16,2%, в IV квартале резко понизилась до 8,8%. Доля сельского населения с доходами ниже прожиточного минимума в III квартале 2008 года составляла 23,3%, в IV квартале — 10,8%. Доля сельского населения с доходами ниже прожиточного минимума в 2009 году составила около 14%.</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Внешний долг.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Государственный и гарантированный государством внешний долг Казахстана возрос на 1,5 млрд. долл. в 2009 году, но остался несущественным и составил 3,4% ВВП. Правительство привлекло заем от Азиатского банка развития (500 млн. долл.) в рамках антикризисной поддержки в 2009 году. В 2010 году власти планировали увеличить объем государственного заимствования. Рост долга частного сектора содействовал увеличению валового внешнего долга страны до 79% ВВП в 2008 году и 100,3% ВВП в </w:t>
      </w:r>
      <w:r w:rsidRPr="006071BD">
        <w:rPr>
          <w:rFonts w:ascii="Times New Roman" w:eastAsia="Times New Roman" w:hAnsi="Times New Roman" w:cs="Times New Roman"/>
          <w:sz w:val="28"/>
          <w:szCs w:val="28"/>
          <w:lang w:eastAsia="ru-RU"/>
        </w:rPr>
        <w:lastRenderedPageBreak/>
        <w:t>2009 году. Вырос долг перед Китаем — 5,7 млрд. долл. привлечено на финансирование строительства газопровода Казахстан — Китай.</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Глобальный кризис продолжает влиять на финансовый рынок Казахстана. Происходит сокращение внешних обязательств банков связи с кризисом ликвидности и ужесточением требований по капитализации банков и условий внешнего заимствования, тогда как займы небанковского сектора все еще растут. Внешний долг банковского сектора с 2008 года по 2009 год уменьшился с 39,2 до 30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Антикризисная поддержка экономики. Антикризисные меры, предпринимаемые правительством Казахстана схожи с мерами, осуществленными в развитых странах: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отличия выражаются в структуре: в странах большой двадцатки понижение налоговых ставок представляло собой треть антикризисных мер, а в Казахстане — 11%;</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главное отличие мер, </w:t>
      </w:r>
      <w:proofErr w:type="spellStart"/>
      <w:r w:rsidRPr="006071BD">
        <w:rPr>
          <w:rFonts w:ascii="Times New Roman" w:eastAsia="Times New Roman" w:hAnsi="Times New Roman" w:cs="Times New Roman"/>
          <w:sz w:val="28"/>
          <w:szCs w:val="28"/>
          <w:lang w:eastAsia="ru-RU"/>
        </w:rPr>
        <w:t>предпринимавшихся</w:t>
      </w:r>
      <w:proofErr w:type="spellEnd"/>
      <w:r w:rsidRPr="006071BD">
        <w:rPr>
          <w:rFonts w:ascii="Times New Roman" w:eastAsia="Times New Roman" w:hAnsi="Times New Roman" w:cs="Times New Roman"/>
          <w:sz w:val="28"/>
          <w:szCs w:val="28"/>
          <w:lang w:eastAsia="ru-RU"/>
        </w:rPr>
        <w:t xml:space="preserve"> в Казахстане, — это их денежный характер: в 2008-2009 годах из Национального фонда было израсходовано 16,3 млрд. долл. в виде трансфертов;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антикризисные меры Казахстана, в отличие от других развитых стран, в большей степени ориентированы на финансовый и строительный секторы и в меньшей степени – на домохозяйства;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в Канаде, Германии, Индонезии, Италии, Великобритании, США были снижены ставки подоходного налога для физических лиц наряду со снижением ставок корпоративного налога – а в Казахстане снизились ставки корпоративного подоходного налога, НДС и социального налога.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Национальный банк со второй половины 2007 года был вынужден принять меры по поддержанию краткосрочной ликвидности банковского сектора, который первым испытал на себе перемену конъюнктуры на глобальных рынках. Был видоизменен механизм минимальных резервных требований: совершилось сжатие базы резервных обязательств и расширение строения резервных активов, что дало банкам возможность добавочно высвободить до 1,3 млрд. долл. В условиях нехватки свободной ликвидности было отсрочено введение в действие новых нормативов минимальных резервных требований (5% по внутренним обязательствам и 10% по иным обязательствам). Многократно пересматривалась ставка рефинансирования. Для поддержания краткосрочной ликвидности Национальный Банк давал банкам займы рефинансирования. Для удержания стабильности обменного курса тенге Национальный Банк проводил валютные вмешательства, вследствие которых курс тенге был стабильным  вплоть до 4 февраля 2009 года, когда Национальный Банк реализовал разовую девальвацию тенге на 22 %.</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В ноябре 2007 года правительство ратифицировало План первоочередных действий по обеспечению стабильности социально-экономического развития Республики Казахстан, согласно которому до конца 2007 года было решено устремить 1 млрд. долл. на поддержку экономики. В </w:t>
      </w:r>
      <w:r w:rsidRPr="006071BD">
        <w:rPr>
          <w:rFonts w:ascii="Times New Roman" w:eastAsia="Times New Roman" w:hAnsi="Times New Roman" w:cs="Times New Roman"/>
          <w:sz w:val="28"/>
          <w:szCs w:val="28"/>
          <w:lang w:eastAsia="ru-RU"/>
        </w:rPr>
        <w:lastRenderedPageBreak/>
        <w:t>ноябре 2008 года был принят План совместных действий Правительства, Национального банка и Агентства Республики Казахстан по регулированию и надзору финансового рынка и финансовых организаций (АФН) по стабилизации экономики и финансовой системы. Несмотря на то, что проводить комплексную оценку действенности антикризисных мер еще рано, все указывает на то, что некоторые принятые антикризисные меры были своевременными. Осенью 2007 года была увеличена сумма гарантированного возмещения по вкладам физических лиц с 700 тыс. до 5 млн. тенге – таким образом было сохранено доверие к банкам. Капитал Казахстанского фонда гарантирования депозитов физических лиц был увеличен до 100 млрд. тенге.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Финансовый сектор.</w:t>
      </w:r>
      <w:r w:rsidRPr="006071BD">
        <w:rPr>
          <w:rFonts w:ascii="Times New Roman" w:eastAsia="Times New Roman" w:hAnsi="Times New Roman" w:cs="Times New Roman"/>
          <w:sz w:val="28"/>
          <w:szCs w:val="28"/>
          <w:lang w:eastAsia="ru-RU"/>
        </w:rPr>
        <w:t xml:space="preserve"> Антикризисные меры по поддержке банковского сектора: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добавочная капитализация четырех системообразующих банков на общую сумму 4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основание Фонда стрессовых активов (ФСА) с уставным фондом 1 млрд. долл. Считалось, что инициатива Фонда будет обращена на совершенствование качества кредитных портфелей банков второго уровня посредством выкупа сомнительных активов, в частности займов, которые даны под залог недвижимости и земли;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стабилизация ресурсной базы банков второго уровня посредством размещения свободных средств национальных компаний и акционерных обществ, государственных предприятий и организаций на депозитах;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улучшение методов государственного регулирования в банковском секторе.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Однако доверие населения к банкам убавилось при вступлении государства в акционерный капитал банков; качество кредитного портфеля ухудшилось. Переменилась конкурентное окружение банковского сектора; сохранилась неустойчивость в финансовом секторе. Создание ФСА было поспешным шагом, так как часть населения  сочла, что кредиты можно не погашать, и в течение года с момента создания средства ФСА были заморожены. Сейчас рано говорить об устойчивости финансового сектора – банковский сектор находится в состоянии шаткой стабильности.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Ресурсы, выданные в рамках антикризисных мер, сохраняются на счетах банков и очень медленно добираются реального сектора экономики. Финансовые и нефинансовые организации отдают предпочтение сохранению средств на счетах в Национальном банке. Кредитная активность банков будет оставаться на низком уровне, потому что они пессимистически оценивают платежеспособность заемщиков – это ограничивает потребительский потенциал и возобновление хозяйственной активности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недвижимости. Антикризисные меры по стабилизации рынка недвижимости: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завершение наибольшего количества объектов незавершенного строительства в Астане и  Алматы;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снабжение граждан новым жильем по доступной цене;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создание АО «Фонд недвижимости» для стабилизации рынка жилья в Алматы и Астане.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обязательство выкупа национальными компаниями и </w:t>
      </w:r>
      <w:proofErr w:type="spellStart"/>
      <w:r w:rsidRPr="006071BD">
        <w:rPr>
          <w:rFonts w:ascii="Times New Roman" w:eastAsia="Times New Roman" w:hAnsi="Times New Roman" w:cs="Times New Roman"/>
          <w:sz w:val="28"/>
          <w:szCs w:val="28"/>
          <w:lang w:eastAsia="ru-RU"/>
        </w:rPr>
        <w:t>акиматами</w:t>
      </w:r>
      <w:proofErr w:type="spellEnd"/>
      <w:r w:rsidRPr="006071BD">
        <w:rPr>
          <w:rFonts w:ascii="Times New Roman" w:eastAsia="Times New Roman" w:hAnsi="Times New Roman" w:cs="Times New Roman"/>
          <w:sz w:val="28"/>
          <w:szCs w:val="28"/>
          <w:lang w:eastAsia="ru-RU"/>
        </w:rPr>
        <w:t xml:space="preserve"> готовых квартир для своих сотрудников по установленным ценам.</w:t>
      </w:r>
    </w:p>
    <w:p w:rsidR="00C8723E"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Но идея завершить все незавершенное строительство была поспешной – этим защищались интересы крупных фирм-застройщиков, спекулянтов недвижимостью, банков, выдающих кредиты под залог недвижимости и земельных участков – их совместные действия привели к нестабильности на рынке недвижимости. В итоге  крупным фирмам-застройщикам был обеспечен выход из кризиса с большой прибылью.  К тому же, учитывая низкий уровень доходов населения, завершение строительства и введение программы ипотечного кредитования со ставкой не более 12,5 % не сделали жилье более доступным.</w:t>
      </w:r>
    </w:p>
    <w:p w:rsidR="003E3579" w:rsidRPr="003E3579" w:rsidRDefault="003E3579" w:rsidP="003E3579">
      <w:pPr>
        <w:spacing w:after="0" w:line="240" w:lineRule="auto"/>
        <w:jc w:val="both"/>
        <w:rPr>
          <w:rFonts w:ascii="Times New Roman" w:eastAsia="Times New Roman" w:hAnsi="Times New Roman" w:cs="Times New Roman"/>
          <w:b/>
          <w:bCs/>
          <w:i/>
          <w:sz w:val="28"/>
          <w:szCs w:val="28"/>
          <w:lang w:eastAsia="ru-RU"/>
        </w:rPr>
      </w:pPr>
      <w:r w:rsidRPr="003E3579">
        <w:rPr>
          <w:rFonts w:ascii="Times New Roman" w:eastAsia="Times New Roman" w:hAnsi="Times New Roman" w:cs="Times New Roman"/>
          <w:b/>
          <w:bCs/>
          <w:i/>
          <w:sz w:val="28"/>
          <w:szCs w:val="28"/>
          <w:lang w:eastAsia="ru-RU"/>
        </w:rPr>
        <w:t xml:space="preserve">Вопросы для самоконтроля: </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Опишите с</w:t>
      </w:r>
      <w:r w:rsidRPr="005E51F0">
        <w:rPr>
          <w:rFonts w:ascii="Times New Roman" w:eastAsia="Times New Roman" w:hAnsi="Times New Roman" w:cs="Times New Roman"/>
          <w:bCs/>
          <w:sz w:val="28"/>
          <w:szCs w:val="28"/>
          <w:lang w:eastAsia="ru-RU"/>
        </w:rPr>
        <w:t>ущность финансового рынка.</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sidRPr="005E51F0">
        <w:rPr>
          <w:rFonts w:ascii="Times New Roman" w:eastAsia="Times New Roman" w:hAnsi="Times New Roman" w:cs="Times New Roman"/>
          <w:bCs/>
          <w:sz w:val="28"/>
          <w:szCs w:val="28"/>
          <w:lang w:eastAsia="ru-RU"/>
        </w:rPr>
        <w:t xml:space="preserve">Раскройте </w:t>
      </w:r>
      <w:r>
        <w:rPr>
          <w:rFonts w:ascii="Times New Roman" w:eastAsia="Times New Roman" w:hAnsi="Times New Roman" w:cs="Times New Roman"/>
          <w:bCs/>
          <w:sz w:val="28"/>
          <w:szCs w:val="28"/>
          <w:lang w:eastAsia="ru-RU"/>
        </w:rPr>
        <w:t>с</w:t>
      </w:r>
      <w:r w:rsidRPr="005E51F0">
        <w:rPr>
          <w:rFonts w:ascii="Times New Roman" w:eastAsia="Times New Roman" w:hAnsi="Times New Roman" w:cs="Times New Roman"/>
          <w:bCs/>
          <w:sz w:val="28"/>
          <w:szCs w:val="28"/>
          <w:lang w:eastAsia="ru-RU"/>
        </w:rPr>
        <w:t>труктур</w:t>
      </w:r>
      <w:r>
        <w:rPr>
          <w:rFonts w:ascii="Times New Roman" w:eastAsia="Times New Roman" w:hAnsi="Times New Roman" w:cs="Times New Roman"/>
          <w:bCs/>
          <w:sz w:val="28"/>
          <w:szCs w:val="28"/>
          <w:lang w:eastAsia="ru-RU"/>
        </w:rPr>
        <w:t>у</w:t>
      </w:r>
      <w:r w:rsidRPr="005E51F0">
        <w:rPr>
          <w:rFonts w:ascii="Times New Roman" w:eastAsia="Times New Roman" w:hAnsi="Times New Roman" w:cs="Times New Roman"/>
          <w:bCs/>
          <w:sz w:val="28"/>
          <w:szCs w:val="28"/>
          <w:lang w:eastAsia="ru-RU"/>
        </w:rPr>
        <w:t xml:space="preserve"> финансового рынка</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Проанализируйте с</w:t>
      </w:r>
      <w:r w:rsidRPr="005E51F0">
        <w:rPr>
          <w:rFonts w:ascii="Times New Roman" w:eastAsia="Times New Roman" w:hAnsi="Times New Roman" w:cs="Times New Roman"/>
          <w:bCs/>
          <w:sz w:val="28"/>
          <w:szCs w:val="28"/>
          <w:lang w:eastAsia="ru-RU"/>
        </w:rPr>
        <w:t xml:space="preserve">овременное состояние финансового рынка Казахстана. </w:t>
      </w:r>
    </w:p>
    <w:p w:rsidR="003E3579" w:rsidRDefault="003E3579" w:rsidP="006071BD">
      <w:pPr>
        <w:spacing w:after="0" w:line="240" w:lineRule="auto"/>
        <w:ind w:firstLine="567"/>
        <w:contextualSpacing/>
        <w:jc w:val="both"/>
        <w:textAlignment w:val="baseline"/>
        <w:rPr>
          <w:rFonts w:ascii="Times New Roman" w:eastAsia="Times New Roman" w:hAnsi="Times New Roman" w:cs="Times New Roman"/>
          <w:b/>
          <w:sz w:val="28"/>
          <w:szCs w:val="28"/>
          <w:lang w:eastAsia="ru-RU"/>
        </w:rPr>
      </w:pPr>
    </w:p>
    <w:p w:rsidR="003E3579" w:rsidRPr="003E3579" w:rsidRDefault="003E3579" w:rsidP="003E3579">
      <w:pPr>
        <w:tabs>
          <w:tab w:val="left" w:pos="830"/>
          <w:tab w:val="left" w:pos="3188"/>
          <w:tab w:val="left" w:pos="6378"/>
          <w:tab w:val="left" w:pos="7970"/>
        </w:tabs>
        <w:spacing w:after="0" w:line="240" w:lineRule="auto"/>
        <w:jc w:val="both"/>
        <w:rPr>
          <w:rFonts w:ascii="Times New Roman" w:eastAsia="Times New Roman" w:hAnsi="Times New Roman" w:cs="Times New Roman"/>
          <w:b/>
          <w:sz w:val="28"/>
          <w:szCs w:val="28"/>
          <w:lang w:eastAsia="ru-RU"/>
        </w:rPr>
      </w:pPr>
      <w:r w:rsidRPr="003E3579">
        <w:rPr>
          <w:rFonts w:ascii="Times New Roman" w:eastAsia="Times New Roman" w:hAnsi="Times New Roman" w:cs="Times New Roman"/>
          <w:b/>
          <w:sz w:val="28"/>
          <w:szCs w:val="28"/>
          <w:lang w:eastAsia="ru-RU"/>
        </w:rPr>
        <w:t xml:space="preserve">Рекомендуемая литература: </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 xml:space="preserve">Мельников В.Д., Ильясов К.К. Финансы. Учебник для экономических специальностей вузов. </w:t>
      </w:r>
      <w:proofErr w:type="gramStart"/>
      <w:r w:rsidRPr="003E3579">
        <w:rPr>
          <w:rFonts w:ascii="Times New Roman" w:eastAsia="Times New Roman" w:hAnsi="Times New Roman" w:cs="Times New Roman"/>
          <w:sz w:val="28"/>
          <w:szCs w:val="28"/>
          <w:lang w:eastAsia="ru-RU"/>
        </w:rPr>
        <w:t>–  Алматы</w:t>
      </w:r>
      <w:proofErr w:type="gramEnd"/>
      <w:r w:rsidRPr="003E3579">
        <w:rPr>
          <w:rFonts w:ascii="Times New Roman" w:eastAsia="Times New Roman" w:hAnsi="Times New Roman" w:cs="Times New Roman"/>
          <w:sz w:val="28"/>
          <w:szCs w:val="28"/>
          <w:lang w:eastAsia="ru-RU"/>
        </w:rPr>
        <w:t xml:space="preserve">:  </w:t>
      </w:r>
      <w:proofErr w:type="spellStart"/>
      <w:r w:rsidRPr="003E3579">
        <w:rPr>
          <w:rFonts w:ascii="Times New Roman" w:eastAsia="Times New Roman" w:hAnsi="Times New Roman" w:cs="Times New Roman"/>
          <w:sz w:val="28"/>
          <w:szCs w:val="28"/>
          <w:lang w:eastAsia="ru-RU"/>
        </w:rPr>
        <w:t>ФинЭко</w:t>
      </w:r>
      <w:proofErr w:type="spellEnd"/>
      <w:r w:rsidRPr="003E3579">
        <w:rPr>
          <w:rFonts w:ascii="Times New Roman" w:eastAsia="Times New Roman" w:hAnsi="Times New Roman" w:cs="Times New Roman"/>
          <w:sz w:val="28"/>
          <w:szCs w:val="28"/>
          <w:lang w:eastAsia="ru-RU"/>
        </w:rPr>
        <w:t>, 2014.</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Мельников В.Д. Основы финансов. Учебник. – Алматы – 2016.</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 xml:space="preserve">Ильясов К.К. </w:t>
      </w:r>
      <w:proofErr w:type="spellStart"/>
      <w:r w:rsidRPr="003E3579">
        <w:rPr>
          <w:rFonts w:ascii="Times New Roman" w:eastAsia="Times New Roman" w:hAnsi="Times New Roman" w:cs="Times New Roman"/>
          <w:sz w:val="28"/>
          <w:szCs w:val="28"/>
          <w:lang w:eastAsia="ru-RU"/>
        </w:rPr>
        <w:t>Кулпыбаев</w:t>
      </w:r>
      <w:proofErr w:type="spellEnd"/>
      <w:r w:rsidRPr="003E3579">
        <w:rPr>
          <w:rFonts w:ascii="Times New Roman" w:eastAsia="Times New Roman" w:hAnsi="Times New Roman" w:cs="Times New Roman"/>
          <w:sz w:val="28"/>
          <w:szCs w:val="28"/>
          <w:lang w:eastAsia="ru-RU"/>
        </w:rPr>
        <w:t xml:space="preserve"> С.К. </w:t>
      </w:r>
      <w:r w:rsidRPr="003E3579">
        <w:rPr>
          <w:rFonts w:ascii="Times New Roman" w:eastAsia="Times New Roman" w:hAnsi="Times New Roman" w:cs="Times New Roman"/>
          <w:sz w:val="28"/>
          <w:szCs w:val="28"/>
          <w:lang w:val="kk-KZ" w:eastAsia="ru-RU"/>
        </w:rPr>
        <w:t xml:space="preserve">Қаржы </w:t>
      </w:r>
      <w:proofErr w:type="spellStart"/>
      <w:r w:rsidRPr="003E3579">
        <w:rPr>
          <w:rFonts w:ascii="Times New Roman" w:eastAsia="Times New Roman" w:hAnsi="Times New Roman" w:cs="Times New Roman"/>
          <w:sz w:val="28"/>
          <w:szCs w:val="28"/>
          <w:lang w:eastAsia="ru-RU"/>
        </w:rPr>
        <w:t>Окулык</w:t>
      </w:r>
      <w:proofErr w:type="spellEnd"/>
      <w:r w:rsidRPr="003E3579">
        <w:rPr>
          <w:rFonts w:ascii="Times New Roman" w:eastAsia="Times New Roman" w:hAnsi="Times New Roman" w:cs="Times New Roman"/>
          <w:sz w:val="28"/>
          <w:szCs w:val="28"/>
          <w:lang w:eastAsia="ru-RU"/>
        </w:rPr>
        <w:t>. – Алматы, 2015.</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Финансы. Учебник для вузов. Под ред. М. В. Романовского и др. – М.: Перспектива, «</w:t>
      </w:r>
      <w:proofErr w:type="spellStart"/>
      <w:r w:rsidRPr="003E3579">
        <w:rPr>
          <w:rFonts w:ascii="Times New Roman" w:eastAsia="Times New Roman" w:hAnsi="Times New Roman" w:cs="Times New Roman"/>
          <w:sz w:val="28"/>
          <w:szCs w:val="28"/>
          <w:lang w:eastAsia="ru-RU"/>
        </w:rPr>
        <w:t>Юнити</w:t>
      </w:r>
      <w:proofErr w:type="spellEnd"/>
      <w:r w:rsidRPr="003E3579">
        <w:rPr>
          <w:rFonts w:ascii="Times New Roman" w:eastAsia="Times New Roman" w:hAnsi="Times New Roman" w:cs="Times New Roman"/>
          <w:sz w:val="28"/>
          <w:szCs w:val="28"/>
          <w:lang w:eastAsia="ru-RU"/>
        </w:rPr>
        <w:t>», 2016.</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 xml:space="preserve">Ли В.Д., Мустафина А.К. Финансы в вопросах и ответах. </w:t>
      </w:r>
      <w:r w:rsidRPr="003E3579">
        <w:rPr>
          <w:rFonts w:ascii="Times New Roman" w:eastAsia="Times New Roman" w:hAnsi="Times New Roman" w:cs="Times New Roman"/>
          <w:sz w:val="28"/>
          <w:szCs w:val="28"/>
          <w:lang w:val="kk-KZ" w:eastAsia="ru-RU"/>
        </w:rPr>
        <w:t>Қазақ Университеті</w:t>
      </w:r>
      <w:r w:rsidRPr="003E3579">
        <w:rPr>
          <w:rFonts w:ascii="Times New Roman" w:eastAsia="Times New Roman" w:hAnsi="Times New Roman" w:cs="Times New Roman"/>
          <w:sz w:val="28"/>
          <w:szCs w:val="28"/>
          <w:lang w:val="en-US" w:eastAsia="ru-RU"/>
        </w:rPr>
        <w:t>/</w:t>
      </w:r>
      <w:r w:rsidRPr="003E3579">
        <w:rPr>
          <w:rFonts w:ascii="Times New Roman" w:eastAsia="Times New Roman" w:hAnsi="Times New Roman" w:cs="Times New Roman"/>
          <w:sz w:val="28"/>
          <w:szCs w:val="28"/>
          <w:lang w:eastAsia="ru-RU"/>
        </w:rPr>
        <w:t xml:space="preserve"> 2016 г.</w:t>
      </w:r>
    </w:p>
    <w:p w:rsidR="003E3579" w:rsidRPr="003E3579" w:rsidRDefault="003E3579" w:rsidP="003E3579">
      <w:p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Интернет –ресурсы:</w:t>
      </w:r>
    </w:p>
    <w:p w:rsidR="003E3579" w:rsidRPr="003E3579" w:rsidRDefault="000D65BE"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5" w:history="1">
        <w:r w:rsidR="003E3579" w:rsidRPr="003E3579">
          <w:rPr>
            <w:rFonts w:ascii="Times New Roman" w:eastAsia="Times New Roman" w:hAnsi="Times New Roman" w:cs="Times New Roman"/>
            <w:color w:val="0000FF" w:themeColor="hyperlink"/>
            <w:sz w:val="28"/>
            <w:szCs w:val="28"/>
            <w:u w:val="single"/>
            <w:lang w:eastAsia="ru-RU"/>
          </w:rPr>
          <w:t>www.minfin.gov.kz</w:t>
        </w:r>
      </w:hyperlink>
    </w:p>
    <w:p w:rsidR="003E3579" w:rsidRPr="003E3579" w:rsidRDefault="000D65BE"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6" w:history="1">
        <w:r w:rsidR="003E3579" w:rsidRPr="003E3579">
          <w:rPr>
            <w:rFonts w:ascii="Times New Roman" w:eastAsia="Times New Roman" w:hAnsi="Times New Roman" w:cs="Times New Roman"/>
            <w:color w:val="0000FF" w:themeColor="hyperlink"/>
            <w:sz w:val="28"/>
            <w:szCs w:val="28"/>
            <w:u w:val="single"/>
            <w:lang w:eastAsia="ru-RU"/>
          </w:rPr>
          <w:t>www.kase.kz</w:t>
        </w:r>
      </w:hyperlink>
    </w:p>
    <w:p w:rsidR="003E3579" w:rsidRPr="003E3579" w:rsidRDefault="000D65BE"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7" w:history="1">
        <w:r w:rsidR="003E3579" w:rsidRPr="003E3579">
          <w:rPr>
            <w:rFonts w:ascii="Times New Roman" w:eastAsia="Times New Roman" w:hAnsi="Times New Roman" w:cs="Times New Roman"/>
            <w:color w:val="0000FF" w:themeColor="hyperlink"/>
            <w:sz w:val="28"/>
            <w:szCs w:val="28"/>
            <w:u w:val="single"/>
            <w:lang w:eastAsia="ru-RU"/>
          </w:rPr>
          <w:t>https://www.zakon.kz</w:t>
        </w:r>
      </w:hyperlink>
    </w:p>
    <w:p w:rsidR="003E3579" w:rsidRPr="003E3579" w:rsidRDefault="000D65BE"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hyperlink r:id="rId8" w:history="1">
        <w:r w:rsidR="003E3579" w:rsidRPr="003E3579">
          <w:rPr>
            <w:rFonts w:ascii="Times New Roman" w:eastAsia="Times New Roman" w:hAnsi="Times New Roman" w:cs="Times New Roman"/>
            <w:color w:val="0000FF" w:themeColor="hyperlink"/>
            <w:sz w:val="28"/>
            <w:szCs w:val="28"/>
            <w:u w:val="single"/>
            <w:lang w:eastAsia="ru-RU"/>
          </w:rPr>
          <w:t>www.nationalbank.kz</w:t>
        </w:r>
      </w:hyperlink>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iCs/>
          <w:sz w:val="28"/>
          <w:szCs w:val="28"/>
          <w:lang w:eastAsia="ru-RU"/>
        </w:rPr>
        <w:t>http://stat.gov.kz</w:t>
      </w:r>
    </w:p>
    <w:p w:rsidR="003E3579" w:rsidRPr="003E3579" w:rsidRDefault="003E3579" w:rsidP="003E3579">
      <w:pPr>
        <w:ind w:firstLine="708"/>
        <w:rPr>
          <w:rFonts w:ascii="Times New Roman" w:eastAsia="Times New Roman" w:hAnsi="Times New Roman" w:cs="Times New Roman"/>
          <w:sz w:val="28"/>
          <w:szCs w:val="28"/>
          <w:lang w:eastAsia="ru-RU"/>
        </w:rPr>
      </w:pPr>
    </w:p>
    <w:sectPr w:rsidR="003E3579" w:rsidRPr="003E3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1F8"/>
    <w:multiLevelType w:val="multilevel"/>
    <w:tmpl w:val="30A2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D14BA"/>
    <w:multiLevelType w:val="hybridMultilevel"/>
    <w:tmpl w:val="9BB2ABD0"/>
    <w:lvl w:ilvl="0" w:tplc="C3CABF28">
      <w:start w:val="2"/>
      <w:numFmt w:val="bullet"/>
      <w:lvlText w:val=""/>
      <w:lvlJc w:val="left"/>
      <w:pPr>
        <w:tabs>
          <w:tab w:val="num" w:pos="720"/>
        </w:tabs>
        <w:ind w:left="720" w:hanging="360"/>
      </w:pPr>
      <w:rPr>
        <w:rFonts w:ascii="Symbol" w:hAnsi="Symbol" w:hint="default"/>
        <w:sz w:val="20"/>
      </w:rPr>
    </w:lvl>
    <w:lvl w:ilvl="1" w:tplc="E7868040" w:tentative="1">
      <w:start w:val="1"/>
      <w:numFmt w:val="decimal"/>
      <w:lvlText w:val="%2."/>
      <w:lvlJc w:val="left"/>
      <w:pPr>
        <w:tabs>
          <w:tab w:val="num" w:pos="1440"/>
        </w:tabs>
        <w:ind w:left="1440" w:hanging="360"/>
      </w:pPr>
    </w:lvl>
    <w:lvl w:ilvl="2" w:tplc="AFE42A54" w:tentative="1">
      <w:start w:val="1"/>
      <w:numFmt w:val="decimal"/>
      <w:lvlText w:val="%3."/>
      <w:lvlJc w:val="left"/>
      <w:pPr>
        <w:tabs>
          <w:tab w:val="num" w:pos="2160"/>
        </w:tabs>
        <w:ind w:left="2160" w:hanging="360"/>
      </w:pPr>
    </w:lvl>
    <w:lvl w:ilvl="3" w:tplc="2E1658A8" w:tentative="1">
      <w:start w:val="1"/>
      <w:numFmt w:val="decimal"/>
      <w:lvlText w:val="%4."/>
      <w:lvlJc w:val="left"/>
      <w:pPr>
        <w:tabs>
          <w:tab w:val="num" w:pos="2880"/>
        </w:tabs>
        <w:ind w:left="2880" w:hanging="360"/>
      </w:pPr>
    </w:lvl>
    <w:lvl w:ilvl="4" w:tplc="C07CC566" w:tentative="1">
      <w:start w:val="1"/>
      <w:numFmt w:val="decimal"/>
      <w:lvlText w:val="%5."/>
      <w:lvlJc w:val="left"/>
      <w:pPr>
        <w:tabs>
          <w:tab w:val="num" w:pos="3600"/>
        </w:tabs>
        <w:ind w:left="3600" w:hanging="360"/>
      </w:pPr>
    </w:lvl>
    <w:lvl w:ilvl="5" w:tplc="808E58D8" w:tentative="1">
      <w:start w:val="1"/>
      <w:numFmt w:val="decimal"/>
      <w:lvlText w:val="%6."/>
      <w:lvlJc w:val="left"/>
      <w:pPr>
        <w:tabs>
          <w:tab w:val="num" w:pos="4320"/>
        </w:tabs>
        <w:ind w:left="4320" w:hanging="360"/>
      </w:pPr>
    </w:lvl>
    <w:lvl w:ilvl="6" w:tplc="D2F6A97E" w:tentative="1">
      <w:start w:val="1"/>
      <w:numFmt w:val="decimal"/>
      <w:lvlText w:val="%7."/>
      <w:lvlJc w:val="left"/>
      <w:pPr>
        <w:tabs>
          <w:tab w:val="num" w:pos="5040"/>
        </w:tabs>
        <w:ind w:left="5040" w:hanging="360"/>
      </w:pPr>
    </w:lvl>
    <w:lvl w:ilvl="7" w:tplc="B16883F2" w:tentative="1">
      <w:start w:val="1"/>
      <w:numFmt w:val="decimal"/>
      <w:lvlText w:val="%8."/>
      <w:lvlJc w:val="left"/>
      <w:pPr>
        <w:tabs>
          <w:tab w:val="num" w:pos="5760"/>
        </w:tabs>
        <w:ind w:left="5760" w:hanging="360"/>
      </w:pPr>
    </w:lvl>
    <w:lvl w:ilvl="8" w:tplc="797E3ABC" w:tentative="1">
      <w:start w:val="1"/>
      <w:numFmt w:val="decimal"/>
      <w:lvlText w:val="%9."/>
      <w:lvlJc w:val="left"/>
      <w:pPr>
        <w:tabs>
          <w:tab w:val="num" w:pos="6480"/>
        </w:tabs>
        <w:ind w:left="6480" w:hanging="360"/>
      </w:pPr>
    </w:lvl>
  </w:abstractNum>
  <w:abstractNum w:abstractNumId="2" w15:restartNumberingAfterBreak="0">
    <w:nsid w:val="24FC21B6"/>
    <w:multiLevelType w:val="multilevel"/>
    <w:tmpl w:val="E5AA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C6F84"/>
    <w:multiLevelType w:val="multilevel"/>
    <w:tmpl w:val="0DA267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400BF"/>
    <w:multiLevelType w:val="multilevel"/>
    <w:tmpl w:val="7B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15:restartNumberingAfterBreak="0">
    <w:nsid w:val="4AC937C2"/>
    <w:multiLevelType w:val="hybridMultilevel"/>
    <w:tmpl w:val="B05685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0EA3760"/>
    <w:multiLevelType w:val="hybridMultilevel"/>
    <w:tmpl w:val="55BED7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3"/>
  </w:num>
  <w:num w:numId="4">
    <w:abstractNumId w:val="2"/>
  </w:num>
  <w:num w:numId="5">
    <w:abstractNumId w:val="4"/>
  </w:num>
  <w:num w:numId="6">
    <w:abstractNumId w:val="8"/>
  </w:num>
  <w:num w:numId="7">
    <w:abstractNumId w:val="7"/>
  </w:num>
  <w:num w:numId="8">
    <w:abstractNumId w:val="5"/>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62"/>
    <w:rsid w:val="000D65BE"/>
    <w:rsid w:val="00146062"/>
    <w:rsid w:val="003E3579"/>
    <w:rsid w:val="00557D01"/>
    <w:rsid w:val="005E51F0"/>
    <w:rsid w:val="006071BD"/>
    <w:rsid w:val="00B97BB7"/>
    <w:rsid w:val="00C16229"/>
    <w:rsid w:val="00C8723E"/>
    <w:rsid w:val="00CB3C1D"/>
    <w:rsid w:val="00F32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52220-6F92-4BB3-A151-54F0E311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23E"/>
    <w:rPr>
      <w:rFonts w:ascii="Tahoma" w:hAnsi="Tahoma" w:cs="Tahoma"/>
      <w:sz w:val="16"/>
      <w:szCs w:val="16"/>
    </w:rPr>
  </w:style>
  <w:style w:type="paragraph" w:styleId="a5">
    <w:name w:val="List Paragraph"/>
    <w:basedOn w:val="a"/>
    <w:uiPriority w:val="34"/>
    <w:qFormat/>
    <w:rsid w:val="005E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472534">
      <w:bodyDiv w:val="1"/>
      <w:marLeft w:val="0"/>
      <w:marRight w:val="0"/>
      <w:marTop w:val="0"/>
      <w:marBottom w:val="0"/>
      <w:divBdr>
        <w:top w:val="none" w:sz="0" w:space="0" w:color="auto"/>
        <w:left w:val="none" w:sz="0" w:space="0" w:color="auto"/>
        <w:bottom w:val="none" w:sz="0" w:space="0" w:color="auto"/>
        <w:right w:val="none" w:sz="0" w:space="0" w:color="auto"/>
      </w:divBdr>
      <w:divsChild>
        <w:div w:id="93479220">
          <w:marLeft w:val="150"/>
          <w:marRight w:val="0"/>
          <w:marTop w:val="150"/>
          <w:marBottom w:val="300"/>
          <w:divBdr>
            <w:top w:val="none" w:sz="0" w:space="0" w:color="auto"/>
            <w:left w:val="none" w:sz="0" w:space="0" w:color="auto"/>
            <w:bottom w:val="none" w:sz="0" w:space="0" w:color="auto"/>
            <w:right w:val="none" w:sz="0" w:space="0" w:color="auto"/>
          </w:divBdr>
          <w:divsChild>
            <w:div w:id="1198936146">
              <w:marLeft w:val="0"/>
              <w:marRight w:val="0"/>
              <w:marTop w:val="0"/>
              <w:marBottom w:val="0"/>
              <w:divBdr>
                <w:top w:val="none" w:sz="0" w:space="0" w:color="auto"/>
                <w:left w:val="none" w:sz="0" w:space="0" w:color="auto"/>
                <w:bottom w:val="none" w:sz="0" w:space="0" w:color="auto"/>
                <w:right w:val="none" w:sz="0" w:space="0" w:color="auto"/>
              </w:divBdr>
            </w:div>
          </w:divsChild>
        </w:div>
        <w:div w:id="2011834769">
          <w:marLeft w:val="0"/>
          <w:marRight w:val="0"/>
          <w:marTop w:val="150"/>
          <w:marBottom w:val="150"/>
          <w:divBdr>
            <w:top w:val="none" w:sz="0" w:space="0" w:color="auto"/>
            <w:left w:val="none" w:sz="0" w:space="0" w:color="auto"/>
            <w:bottom w:val="none" w:sz="0" w:space="0" w:color="auto"/>
            <w:right w:val="none" w:sz="0" w:space="0" w:color="auto"/>
          </w:divBdr>
          <w:divsChild>
            <w:div w:id="1277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2667">
      <w:bodyDiv w:val="1"/>
      <w:marLeft w:val="0"/>
      <w:marRight w:val="0"/>
      <w:marTop w:val="0"/>
      <w:marBottom w:val="0"/>
      <w:divBdr>
        <w:top w:val="none" w:sz="0" w:space="0" w:color="auto"/>
        <w:left w:val="none" w:sz="0" w:space="0" w:color="auto"/>
        <w:bottom w:val="none" w:sz="0" w:space="0" w:color="auto"/>
        <w:right w:val="none" w:sz="0" w:space="0" w:color="auto"/>
      </w:divBdr>
      <w:divsChild>
        <w:div w:id="782531827">
          <w:marLeft w:val="0"/>
          <w:marRight w:val="0"/>
          <w:marTop w:val="0"/>
          <w:marBottom w:val="0"/>
          <w:divBdr>
            <w:top w:val="none" w:sz="0" w:space="0" w:color="auto"/>
            <w:left w:val="none" w:sz="0" w:space="0" w:color="auto"/>
            <w:bottom w:val="none" w:sz="0" w:space="0" w:color="auto"/>
            <w:right w:val="none" w:sz="0" w:space="0" w:color="auto"/>
          </w:divBdr>
          <w:divsChild>
            <w:div w:id="202864019">
              <w:marLeft w:val="0"/>
              <w:marRight w:val="0"/>
              <w:marTop w:val="0"/>
              <w:marBottom w:val="0"/>
              <w:divBdr>
                <w:top w:val="none" w:sz="0" w:space="0" w:color="auto"/>
                <w:left w:val="none" w:sz="0" w:space="0" w:color="auto"/>
                <w:bottom w:val="none" w:sz="0" w:space="0" w:color="auto"/>
                <w:right w:val="none" w:sz="0" w:space="0" w:color="auto"/>
              </w:divBdr>
              <w:divsChild>
                <w:div w:id="451290412">
                  <w:marLeft w:val="0"/>
                  <w:marRight w:val="0"/>
                  <w:marTop w:val="150"/>
                  <w:marBottom w:val="150"/>
                  <w:divBdr>
                    <w:top w:val="none" w:sz="0" w:space="0" w:color="auto"/>
                    <w:left w:val="none" w:sz="0" w:space="0" w:color="auto"/>
                    <w:bottom w:val="none" w:sz="0" w:space="0" w:color="auto"/>
                    <w:right w:val="none" w:sz="0" w:space="0" w:color="auto"/>
                  </w:divBdr>
                  <w:divsChild>
                    <w:div w:id="12516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5722">
          <w:marLeft w:val="0"/>
          <w:marRight w:val="0"/>
          <w:marTop w:val="0"/>
          <w:marBottom w:val="0"/>
          <w:divBdr>
            <w:top w:val="none" w:sz="0" w:space="0" w:color="auto"/>
            <w:left w:val="none" w:sz="0" w:space="0" w:color="auto"/>
            <w:bottom w:val="none" w:sz="0" w:space="0" w:color="auto"/>
            <w:right w:val="none" w:sz="0" w:space="0" w:color="auto"/>
          </w:divBdr>
          <w:divsChild>
            <w:div w:id="1496073664">
              <w:marLeft w:val="0"/>
              <w:marRight w:val="0"/>
              <w:marTop w:val="0"/>
              <w:marBottom w:val="0"/>
              <w:divBdr>
                <w:top w:val="none" w:sz="0" w:space="0" w:color="auto"/>
                <w:left w:val="none" w:sz="0" w:space="0" w:color="auto"/>
                <w:bottom w:val="none" w:sz="0" w:space="0" w:color="auto"/>
                <w:right w:val="none" w:sz="0" w:space="0" w:color="auto"/>
              </w:divBdr>
              <w:divsChild>
                <w:div w:id="761410906">
                  <w:marLeft w:val="0"/>
                  <w:marRight w:val="0"/>
                  <w:marTop w:val="0"/>
                  <w:marBottom w:val="150"/>
                  <w:divBdr>
                    <w:top w:val="none" w:sz="0" w:space="0" w:color="auto"/>
                    <w:left w:val="none" w:sz="0" w:space="0" w:color="auto"/>
                    <w:bottom w:val="none" w:sz="0" w:space="0" w:color="auto"/>
                    <w:right w:val="none" w:sz="0" w:space="0" w:color="auto"/>
                  </w:divBdr>
                  <w:divsChild>
                    <w:div w:id="1036613735">
                      <w:marLeft w:val="0"/>
                      <w:marRight w:val="0"/>
                      <w:marTop w:val="0"/>
                      <w:marBottom w:val="0"/>
                      <w:divBdr>
                        <w:top w:val="none" w:sz="0" w:space="0" w:color="auto"/>
                        <w:left w:val="none" w:sz="0" w:space="0" w:color="auto"/>
                        <w:bottom w:val="none" w:sz="0" w:space="0" w:color="auto"/>
                        <w:right w:val="none" w:sz="0" w:space="0" w:color="auto"/>
                      </w:divBdr>
                      <w:divsChild>
                        <w:div w:id="535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3893</Words>
  <Characters>22192</Characters>
  <Application>Microsoft Office Word</Application>
  <DocSecurity>0</DocSecurity>
  <Lines>184</Lines>
  <Paragraphs>52</Paragraphs>
  <ScaleCrop>false</ScaleCrop>
  <Company>SPecialiST RePack</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13</cp:revision>
  <dcterms:created xsi:type="dcterms:W3CDTF">2019-10-21T06:12:00Z</dcterms:created>
  <dcterms:modified xsi:type="dcterms:W3CDTF">2020-11-09T06:25:00Z</dcterms:modified>
</cp:coreProperties>
</file>